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Default="00AB635B" w:rsidP="00362A6B">
      <w:pPr>
        <w:pStyle w:val="a8"/>
        <w:tabs>
          <w:tab w:val="right" w:pos="9630"/>
        </w:tabs>
        <w:jc w:val="both"/>
        <w:rPr>
          <w:sz w:val="24"/>
        </w:rPr>
      </w:pPr>
      <w:r w:rsidRPr="00943E97">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499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Pr>
          <w:sz w:val="24"/>
        </w:rPr>
        <w:t>3GPP TSG-RAN WG3</w:t>
      </w:r>
      <w:r w:rsidR="00345F84">
        <w:rPr>
          <w:sz w:val="24"/>
        </w:rPr>
        <w:t xml:space="preserve"> </w:t>
      </w:r>
      <w:r w:rsidR="006C3B9F">
        <w:rPr>
          <w:sz w:val="24"/>
        </w:rPr>
        <w:t>Meeting</w:t>
      </w:r>
      <w:r w:rsidR="00D837BD">
        <w:rPr>
          <w:sz w:val="24"/>
        </w:rPr>
        <w:t xml:space="preserve"> </w:t>
      </w:r>
      <w:r w:rsidR="006B2C07">
        <w:rPr>
          <w:sz w:val="24"/>
        </w:rPr>
        <w:t>#103</w:t>
      </w:r>
      <w:r w:rsidR="003E572C">
        <w:rPr>
          <w:sz w:val="24"/>
        </w:rPr>
        <w:t>bis</w:t>
      </w:r>
      <w:r w:rsidR="00362A6B">
        <w:rPr>
          <w:sz w:val="24"/>
        </w:rPr>
        <w:tab/>
      </w:r>
      <w:r w:rsidR="00815BEF" w:rsidRPr="003E572C">
        <w:rPr>
          <w:sz w:val="24"/>
        </w:rPr>
        <w:t>R3</w:t>
      </w:r>
      <w:r w:rsidR="00E96564" w:rsidRPr="003E572C">
        <w:rPr>
          <w:sz w:val="24"/>
        </w:rPr>
        <w:t>-</w:t>
      </w:r>
      <w:r w:rsidR="002E26B5" w:rsidRPr="003E572C">
        <w:rPr>
          <w:sz w:val="24"/>
        </w:rPr>
        <w:t>19</w:t>
      </w:r>
      <w:r w:rsidR="003E572C">
        <w:rPr>
          <w:sz w:val="24"/>
        </w:rPr>
        <w:t>1844</w:t>
      </w:r>
    </w:p>
    <w:p w:rsidR="0097006C" w:rsidRPr="00E803E2" w:rsidRDefault="00AB635B" w:rsidP="00EB28E0">
      <w:pPr>
        <w:pStyle w:val="a8"/>
        <w:tabs>
          <w:tab w:val="right" w:pos="9630"/>
        </w:tabs>
        <w:rPr>
          <w:rFonts w:eastAsia="宋体" w:cs="黑体"/>
          <w:sz w:val="24"/>
          <w:szCs w:val="22"/>
        </w:rPr>
      </w:pPr>
      <w:r w:rsidRPr="00AB635B">
        <w:rPr>
          <w:rFonts w:eastAsia="宋体" w:cs="黑体"/>
          <w:sz w:val="24"/>
          <w:szCs w:val="22"/>
        </w:rPr>
        <w:t>Xi’an, China, 8</w:t>
      </w:r>
      <w:r w:rsidRPr="00AB635B">
        <w:rPr>
          <w:rFonts w:eastAsia="宋体" w:cs="黑体"/>
          <w:sz w:val="24"/>
          <w:szCs w:val="22"/>
          <w:vertAlign w:val="superscript"/>
        </w:rPr>
        <w:t>th</w:t>
      </w:r>
      <w:r>
        <w:rPr>
          <w:rFonts w:eastAsia="宋体" w:cs="黑体"/>
          <w:sz w:val="24"/>
          <w:szCs w:val="22"/>
        </w:rPr>
        <w:t xml:space="preserve"> </w:t>
      </w:r>
      <w:r w:rsidRPr="00AB635B">
        <w:rPr>
          <w:rFonts w:eastAsia="宋体" w:cs="黑体"/>
          <w:sz w:val="24"/>
          <w:szCs w:val="22"/>
        </w:rPr>
        <w:t>April– 12</w:t>
      </w:r>
      <w:r w:rsidRPr="00270644">
        <w:rPr>
          <w:rFonts w:eastAsia="宋体" w:cs="黑体"/>
          <w:sz w:val="24"/>
          <w:szCs w:val="22"/>
          <w:vertAlign w:val="superscript"/>
        </w:rPr>
        <w:t>th</w:t>
      </w:r>
      <w:r w:rsidR="00270644">
        <w:rPr>
          <w:rFonts w:eastAsia="宋体" w:cs="黑体" w:hint="eastAsia"/>
          <w:sz w:val="24"/>
          <w:szCs w:val="22"/>
        </w:rPr>
        <w:t xml:space="preserve"> </w:t>
      </w:r>
      <w:r w:rsidRPr="00AB635B">
        <w:rPr>
          <w:rFonts w:eastAsia="宋体" w:cs="黑体"/>
          <w:sz w:val="24"/>
          <w:szCs w:val="22"/>
        </w:rPr>
        <w:t>April</w:t>
      </w:r>
      <w:r w:rsidR="00270644">
        <w:rPr>
          <w:rFonts w:eastAsia="宋体" w:cs="黑体"/>
          <w:sz w:val="24"/>
          <w:szCs w:val="22"/>
        </w:rPr>
        <w:t>,</w:t>
      </w:r>
      <w:r w:rsidRPr="00AB635B">
        <w:rPr>
          <w:rFonts w:eastAsia="宋体" w:cs="黑体"/>
          <w:sz w:val="24"/>
          <w:szCs w:val="22"/>
        </w:rPr>
        <w:t xml:space="preserve"> 2019</w:t>
      </w:r>
      <w:r w:rsidR="00362A6B">
        <w:rPr>
          <w:rFonts w:eastAsia="宋体" w:cs="黑体"/>
          <w:sz w:val="24"/>
          <w:szCs w:val="22"/>
        </w:rPr>
        <w:tab/>
      </w:r>
      <w:bookmarkStart w:id="0" w:name="_GoBack"/>
      <w:bookmarkEnd w:id="0"/>
      <w:r w:rsidR="00E96564" w:rsidRPr="00E96564">
        <w:rPr>
          <w:b w:val="0"/>
          <w:sz w:val="24"/>
        </w:rPr>
        <w:tab/>
      </w:r>
      <w:r w:rsidR="00362A6B">
        <w:rPr>
          <w:b w:val="0"/>
          <w:sz w:val="24"/>
        </w:rPr>
        <w:tab/>
      </w:r>
    </w:p>
    <w:p w:rsidR="00652667" w:rsidRPr="000345C2" w:rsidRDefault="001C141A" w:rsidP="00731045">
      <w:pPr>
        <w:pStyle w:val="3GPPHeader"/>
      </w:pPr>
      <w:r>
        <w:t>Agenda Item:</w:t>
      </w:r>
      <w:r>
        <w:tab/>
      </w:r>
      <w:r w:rsidR="00BE1339">
        <w:rPr>
          <w:b w:val="0"/>
        </w:rPr>
        <w:t>13.2.4</w:t>
      </w:r>
    </w:p>
    <w:p w:rsidR="00652667" w:rsidRPr="006A1A0B" w:rsidRDefault="00652667" w:rsidP="00731045">
      <w:pPr>
        <w:pStyle w:val="3GPPHeader"/>
        <w:rPr>
          <w:rFonts w:eastAsia="MS Mincho"/>
        </w:rPr>
      </w:pPr>
      <w:r w:rsidRPr="00BC4D0B">
        <w:t xml:space="preserve">Source: </w:t>
      </w:r>
      <w:r w:rsidRPr="00BC4D0B">
        <w:tab/>
      </w:r>
      <w:r w:rsidR="00DF4F2E" w:rsidRPr="001B5B0E">
        <w:rPr>
          <w:b w:val="0"/>
        </w:rPr>
        <w:t>Huawei</w:t>
      </w:r>
    </w:p>
    <w:p w:rsidR="00F23A10" w:rsidRDefault="00F23A10" w:rsidP="00F23A10">
      <w:pPr>
        <w:tabs>
          <w:tab w:val="left" w:pos="1701"/>
        </w:tabs>
        <w:ind w:left="1701" w:hanging="1701"/>
        <w:rPr>
          <w:rFonts w:eastAsia="MS Mincho" w:cs="黑体"/>
          <w:bCs/>
          <w:sz w:val="24"/>
          <w:lang w:eastAsia="ko-KR"/>
        </w:rPr>
      </w:pPr>
      <w:r>
        <w:rPr>
          <w:rFonts w:cs="黑体"/>
          <w:b/>
          <w:bCs/>
          <w:sz w:val="24"/>
        </w:rPr>
        <w:t>Title:</w:t>
      </w:r>
      <w:r>
        <w:rPr>
          <w:rFonts w:cs="黑体"/>
          <w:bCs/>
          <w:sz w:val="24"/>
        </w:rPr>
        <w:tab/>
      </w:r>
      <w:r w:rsidR="00966EB8">
        <w:rPr>
          <w:rFonts w:cs="黑体"/>
          <w:bCs/>
          <w:sz w:val="24"/>
        </w:rPr>
        <w:t>Support of multiple connectivity in IAB network</w:t>
      </w:r>
    </w:p>
    <w:p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rsidR="00652667" w:rsidRPr="00BC4D0B" w:rsidRDefault="00652667" w:rsidP="0072451D">
      <w:pPr>
        <w:pStyle w:val="1"/>
      </w:pPr>
      <w:r w:rsidRPr="0072451D">
        <w:rPr>
          <w:lang w:val="en-US"/>
        </w:rPr>
        <w:t>Introduction</w:t>
      </w:r>
      <w:bookmarkStart w:id="1" w:name="_Ref174151459"/>
      <w:bookmarkStart w:id="2" w:name="_Ref189809556"/>
    </w:p>
    <w:p w:rsidR="00270644" w:rsidRDefault="002E16A8" w:rsidP="00AB635B">
      <w:r>
        <w:t>The WI on integrated access and backhaul</w:t>
      </w:r>
      <w:r w:rsidR="00966EB8">
        <w:t xml:space="preserve"> for NR was setup in RAN#82 [1], in which it mentions that support for NR-NR DC from the UE and IAB-node perspective</w:t>
      </w:r>
      <w:r>
        <w:t>.</w:t>
      </w:r>
      <w:r w:rsidR="00966EB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0644" w:rsidRPr="00FD7A2E" w:rsidTr="00503C60">
        <w:tc>
          <w:tcPr>
            <w:tcW w:w="9855" w:type="dxa"/>
            <w:shd w:val="clear" w:color="auto" w:fill="auto"/>
          </w:tcPr>
          <w:p w:rsidR="00270644" w:rsidRPr="00475CAE" w:rsidRDefault="00270644" w:rsidP="00503C60">
            <w:pPr>
              <w:spacing w:after="180"/>
              <w:jc w:val="left"/>
              <w:rPr>
                <w:rFonts w:ascii="Times New Roman" w:eastAsia="Yu Mincho" w:hAnsi="Times New Roman"/>
                <w:bCs/>
                <w:lang w:eastAsia="en-US"/>
              </w:rPr>
            </w:pPr>
            <w:r w:rsidRPr="00475CAE">
              <w:rPr>
                <w:rFonts w:ascii="Times New Roman" w:eastAsia="Yu Mincho" w:hAnsi="Times New Roman"/>
                <w:bCs/>
                <w:lang w:eastAsia="en-US"/>
              </w:rPr>
              <w:t>The objectives of IAB for NR WI follow the recommendations by the study item on IAB for NR, which are defined in TR 38.874. With these recommendations, IAB supports the following features:</w:t>
            </w:r>
          </w:p>
          <w:p w:rsidR="00270644" w:rsidRPr="00475CAE" w:rsidRDefault="00270644" w:rsidP="00270644">
            <w:pPr>
              <w:numPr>
                <w:ilvl w:val="0"/>
                <w:numId w:val="22"/>
              </w:numPr>
              <w:spacing w:after="0"/>
              <w:ind w:left="567" w:hanging="207"/>
              <w:jc w:val="left"/>
              <w:rPr>
                <w:rFonts w:ascii="Times New Roman" w:eastAsia="Yu Mincho" w:hAnsi="Times New Roman"/>
                <w:bCs/>
                <w:lang w:eastAsia="en-US"/>
              </w:rPr>
            </w:pPr>
            <w:r w:rsidRPr="00475CAE">
              <w:rPr>
                <w:rFonts w:ascii="Times New Roman" w:eastAsia="Yu Mincho" w:hAnsi="Times New Roman"/>
                <w:bCs/>
                <w:lang w:eastAsia="en-US"/>
              </w:rPr>
              <w:t>Multi-hop backhauling for flexible range extension for both FR1 and FR2.</w:t>
            </w:r>
          </w:p>
          <w:p w:rsidR="00270644" w:rsidRPr="00475CAE" w:rsidRDefault="00270644" w:rsidP="00270644">
            <w:pPr>
              <w:numPr>
                <w:ilvl w:val="0"/>
                <w:numId w:val="22"/>
              </w:numPr>
              <w:spacing w:after="0"/>
              <w:ind w:left="567" w:hanging="207"/>
              <w:jc w:val="left"/>
              <w:rPr>
                <w:rFonts w:ascii="Times New Roman" w:eastAsia="Yu Mincho" w:hAnsi="Times New Roman"/>
                <w:bCs/>
                <w:lang w:eastAsia="en-US"/>
              </w:rPr>
            </w:pPr>
            <w:r w:rsidRPr="00475CAE">
              <w:rPr>
                <w:rFonts w:ascii="Times New Roman" w:eastAsia="Yu Mincho" w:hAnsi="Times New Roman"/>
                <w:bCs/>
                <w:lang w:eastAsia="en-US"/>
              </w:rPr>
              <w:t>Topology adaptation including redundant connectivity to optimize backhauling performance and to respond to backhaul (BH) link failure.</w:t>
            </w:r>
          </w:p>
          <w:p w:rsidR="00270644" w:rsidRPr="00475CAE" w:rsidRDefault="00270644" w:rsidP="00270644">
            <w:pPr>
              <w:numPr>
                <w:ilvl w:val="0"/>
                <w:numId w:val="22"/>
              </w:numPr>
              <w:spacing w:after="0"/>
              <w:ind w:left="567" w:hanging="207"/>
              <w:jc w:val="left"/>
              <w:rPr>
                <w:rFonts w:ascii="Times New Roman" w:eastAsia="Yu Mincho" w:hAnsi="Times New Roman"/>
                <w:bCs/>
                <w:lang w:eastAsia="en-US"/>
              </w:rPr>
            </w:pPr>
            <w:r w:rsidRPr="00475CAE">
              <w:rPr>
                <w:rFonts w:ascii="Times New Roman" w:eastAsia="Yu Mincho" w:hAnsi="Times New Roman"/>
                <w:bCs/>
                <w:lang w:eastAsia="en-US"/>
              </w:rPr>
              <w:t xml:space="preserve">Mapping of UE bearers to backhaul RLC channels and </w:t>
            </w:r>
            <w:proofErr w:type="spellStart"/>
            <w:r w:rsidRPr="00475CAE">
              <w:rPr>
                <w:rFonts w:ascii="Times New Roman" w:eastAsia="Yu Mincho" w:hAnsi="Times New Roman"/>
                <w:bCs/>
                <w:lang w:eastAsia="en-US"/>
              </w:rPr>
              <w:t>QoS</w:t>
            </w:r>
            <w:proofErr w:type="spellEnd"/>
            <w:r w:rsidRPr="00475CAE">
              <w:rPr>
                <w:rFonts w:ascii="Times New Roman" w:eastAsia="Yu Mincho" w:hAnsi="Times New Roman"/>
                <w:bCs/>
                <w:lang w:eastAsia="en-US"/>
              </w:rPr>
              <w:t xml:space="preserve"> enforcement over backhaul RLC channels to meet E2E </w:t>
            </w:r>
            <w:proofErr w:type="spellStart"/>
            <w:r w:rsidRPr="00475CAE">
              <w:rPr>
                <w:rFonts w:ascii="Times New Roman" w:eastAsia="Yu Mincho" w:hAnsi="Times New Roman"/>
                <w:bCs/>
                <w:lang w:eastAsia="en-US"/>
              </w:rPr>
              <w:t>QoS</w:t>
            </w:r>
            <w:proofErr w:type="spellEnd"/>
            <w:r w:rsidRPr="00475CAE">
              <w:rPr>
                <w:rFonts w:ascii="Times New Roman" w:eastAsia="Yu Mincho" w:hAnsi="Times New Roman"/>
                <w:bCs/>
                <w:lang w:eastAsia="en-US"/>
              </w:rPr>
              <w:t xml:space="preserve"> requirements. </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Scalability to a large number of UEs.</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Flexible deployment allowing IAB-node operation in EN-DC mode with EPC or in SA-mode with 5GC.</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Malgun Gothic" w:hAnsi="Times New Roman" w:hint="eastAsia"/>
                <w:bCs/>
                <w:highlight w:val="yellow"/>
                <w:lang w:eastAsia="ko-KR"/>
              </w:rPr>
              <w:t xml:space="preserve">Support for NR-NR DC from the UE </w:t>
            </w:r>
            <w:r w:rsidRPr="00FD7BD1">
              <w:rPr>
                <w:rFonts w:ascii="Times New Roman" w:eastAsia="Malgun Gothic" w:hAnsi="Times New Roman" w:hint="eastAsia"/>
                <w:bCs/>
                <w:lang w:eastAsia="ko-KR"/>
              </w:rPr>
              <w:t>and IAB</w:t>
            </w:r>
            <w:r w:rsidRPr="00FD7BD1">
              <w:rPr>
                <w:rFonts w:ascii="Times New Roman" w:eastAsia="Malgun Gothic" w:hAnsi="Times New Roman"/>
                <w:bCs/>
                <w:lang w:eastAsia="ko-KR"/>
              </w:rPr>
              <w:t>-</w:t>
            </w:r>
            <w:r w:rsidRPr="00FD7BD1">
              <w:rPr>
                <w:rFonts w:ascii="Times New Roman" w:eastAsia="Malgun Gothic" w:hAnsi="Times New Roman" w:hint="eastAsia"/>
                <w:bCs/>
                <w:lang w:eastAsia="ko-KR"/>
              </w:rPr>
              <w:t>node perspective</w:t>
            </w:r>
            <w:r w:rsidRPr="00475CAE">
              <w:rPr>
                <w:rFonts w:ascii="Times New Roman" w:eastAsia="Malgun Gothic" w:hAnsi="Times New Roman" w:hint="eastAsia"/>
                <w:bCs/>
                <w:lang w:eastAsia="ko-KR"/>
              </w:rPr>
              <w:t xml:space="preserve"> (see NOTE</w:t>
            </w:r>
            <w:r w:rsidRPr="00475CAE">
              <w:rPr>
                <w:rFonts w:ascii="Times New Roman" w:eastAsia="Malgun Gothic" w:hAnsi="Times New Roman"/>
                <w:bCs/>
                <w:lang w:eastAsia="ko-KR"/>
              </w:rPr>
              <w:t xml:space="preserve"> </w:t>
            </w:r>
            <w:r w:rsidRPr="00475CAE">
              <w:rPr>
                <w:rFonts w:ascii="Times New Roman" w:eastAsia="Malgun Gothic" w:hAnsi="Times New Roman" w:hint="eastAsia"/>
                <w:bCs/>
                <w:lang w:eastAsia="ko-KR"/>
              </w:rPr>
              <w:t>1)</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 xml:space="preserve">Efficient operation for both </w:t>
            </w:r>
            <w:proofErr w:type="spellStart"/>
            <w:r w:rsidRPr="00475CAE">
              <w:rPr>
                <w:rFonts w:ascii="Times New Roman" w:eastAsia="Yu Mincho" w:hAnsi="Times New Roman"/>
                <w:bCs/>
                <w:lang w:eastAsia="en-US"/>
              </w:rPr>
              <w:t>inband</w:t>
            </w:r>
            <w:proofErr w:type="spellEnd"/>
            <w:r w:rsidRPr="00475CAE">
              <w:rPr>
                <w:rFonts w:ascii="Times New Roman" w:eastAsia="Yu Mincho" w:hAnsi="Times New Roman"/>
                <w:bCs/>
                <w:lang w:eastAsia="en-US"/>
              </w:rPr>
              <w:t xml:space="preserve"> and out-of-band relaying. </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OTA synchronization across IAB topology.</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Support of Rel-15 UEs.</w:t>
            </w:r>
          </w:p>
          <w:p w:rsidR="00270644" w:rsidRDefault="00270644" w:rsidP="00503C60">
            <w:pPr>
              <w:overflowPunct/>
              <w:autoSpaceDE/>
              <w:autoSpaceDN/>
              <w:adjustRightInd/>
              <w:spacing w:after="0"/>
              <w:jc w:val="left"/>
              <w:textAlignment w:val="auto"/>
            </w:pPr>
          </w:p>
          <w:p w:rsidR="00270644" w:rsidRPr="00CB14CC" w:rsidRDefault="00270644" w:rsidP="00270644">
            <w:pPr>
              <w:overflowPunct/>
              <w:autoSpaceDE/>
              <w:autoSpaceDN/>
              <w:adjustRightInd/>
              <w:spacing w:before="60" w:after="60"/>
              <w:ind w:left="720"/>
              <w:jc w:val="left"/>
              <w:textAlignment w:val="auto"/>
            </w:pPr>
            <w:r w:rsidRPr="00CB14CC">
              <w:rPr>
                <w:rFonts w:ascii="Times New Roman" w:eastAsia="Yu Mincho" w:hAnsi="Times New Roman"/>
                <w:lang w:eastAsia="en-US"/>
              </w:rPr>
              <w:t xml:space="preserve">NOTE 1: IAB relies heavily on existing Rel-15 functionality. It may leverage additional features/enhancements defined as part of other Rel-16 WIs, but it should not depend on the timely completion of these features. The scope of this section is limited to the aspects envisioned to be treated as part of the IAB WI. </w:t>
            </w:r>
          </w:p>
        </w:tc>
      </w:tr>
    </w:tbl>
    <w:p w:rsidR="007871D4" w:rsidRDefault="002E16A8" w:rsidP="00270644">
      <w:pPr>
        <w:spacing w:beforeLines="50" w:before="120"/>
      </w:pPr>
      <w:r>
        <w:t xml:space="preserve">This paper </w:t>
      </w:r>
      <w:r w:rsidR="00966EB8">
        <w:t>discusses the issues and impacts related to multiple connectivity for IAB</w:t>
      </w:r>
      <w:r>
        <w:t>.</w:t>
      </w:r>
    </w:p>
    <w:p w:rsidR="00802721" w:rsidRDefault="006B2C07" w:rsidP="00421008">
      <w:pPr>
        <w:pStyle w:val="1"/>
        <w:rPr>
          <w:rFonts w:eastAsia="宋体"/>
          <w:lang w:val="en-US"/>
        </w:rPr>
      </w:pPr>
      <w:r>
        <w:rPr>
          <w:rFonts w:eastAsia="宋体"/>
          <w:lang w:val="en-US"/>
        </w:rPr>
        <w:t>Discussion</w:t>
      </w:r>
    </w:p>
    <w:p w:rsidR="00966EB8" w:rsidRPr="00EA1985" w:rsidRDefault="00966EB8" w:rsidP="00C13986">
      <w:r w:rsidRPr="00EA1985">
        <w:t>In the TR</w:t>
      </w:r>
      <w:r w:rsidR="00C13986">
        <w:t xml:space="preserve"> 38.874</w:t>
      </w:r>
      <w:r w:rsidRPr="00EA1985">
        <w:t xml:space="preserve"> [2], two cases of multiple connectivity are studied, which are captured as followings:</w:t>
      </w:r>
    </w:p>
    <w:p w:rsidR="00966EB8" w:rsidRPr="00EA1985" w:rsidRDefault="00966EB8" w:rsidP="00C13986">
      <w:pPr>
        <w:pStyle w:val="B1"/>
        <w:jc w:val="both"/>
      </w:pPr>
      <w:r w:rsidRPr="00EA1985">
        <w:rPr>
          <w:rFonts w:eastAsia="Malgun Gothic" w:hint="eastAsia"/>
          <w:lang w:eastAsia="ko-KR"/>
        </w:rPr>
        <w:t>-</w:t>
      </w:r>
      <w:r w:rsidRPr="00EA1985">
        <w:rPr>
          <w:rFonts w:eastAsia="Malgun Gothic" w:hint="eastAsia"/>
          <w:lang w:eastAsia="ko-KR"/>
        </w:rPr>
        <w:tab/>
      </w:r>
      <w:r w:rsidRPr="00EA1985">
        <w:t>Case 1: UE is multi-connected to the IAB-donor via redundant routes (traditional DC scenario).</w:t>
      </w:r>
    </w:p>
    <w:p w:rsidR="00966EB8" w:rsidRDefault="00966EB8" w:rsidP="00C13986">
      <w:pPr>
        <w:pStyle w:val="B1"/>
        <w:jc w:val="both"/>
      </w:pPr>
      <w:r w:rsidRPr="00EA1985">
        <w:rPr>
          <w:rFonts w:eastAsia="Malgun Gothic" w:hint="eastAsia"/>
          <w:lang w:eastAsia="ko-KR"/>
        </w:rPr>
        <w:t>-</w:t>
      </w:r>
      <w:r w:rsidRPr="00EA1985">
        <w:rPr>
          <w:rFonts w:eastAsia="Malgun Gothic" w:hint="eastAsia"/>
          <w:lang w:eastAsia="ko-KR"/>
        </w:rPr>
        <w:tab/>
      </w:r>
      <w:r w:rsidRPr="00EA1985">
        <w:t>Case 2: IAB-node is multi-connected to the IAB-donor node via redundant routes.</w:t>
      </w:r>
    </w:p>
    <w:p w:rsidR="00B84484" w:rsidRDefault="00B84484" w:rsidP="00C13986">
      <w:r>
        <w:t xml:space="preserve">Both use cases are important to </w:t>
      </w:r>
      <w:r w:rsidR="000A2A51">
        <w:t>mitigate the impact of</w:t>
      </w:r>
      <w:r>
        <w:t xml:space="preserve"> blockage </w:t>
      </w:r>
      <w:r w:rsidR="00117080">
        <w:t>for</w:t>
      </w:r>
      <w:r>
        <w:t xml:space="preserve"> high frequency. And given that</w:t>
      </w:r>
      <w:r w:rsidR="000A2A51">
        <w:t xml:space="preserve"> the</w:t>
      </w:r>
      <w:r w:rsidR="000A2A51" w:rsidRPr="000A2A51">
        <w:t xml:space="preserve"> </w:t>
      </w:r>
      <w:r w:rsidR="000A2A51">
        <w:t>WID</w:t>
      </w:r>
      <w:r>
        <w:t xml:space="preserve"> </w:t>
      </w:r>
      <w:r w:rsidR="000A2A51">
        <w:t xml:space="preserve">requires that the </w:t>
      </w:r>
      <w:r>
        <w:rPr>
          <w:rFonts w:hint="eastAsia"/>
        </w:rPr>
        <w:t>IAB</w:t>
      </w:r>
      <w:r w:rsidR="00C13986">
        <w:t xml:space="preserve"> network</w:t>
      </w:r>
      <w:r>
        <w:rPr>
          <w:rFonts w:hint="eastAsia"/>
        </w:rPr>
        <w:t xml:space="preserve"> should </w:t>
      </w:r>
      <w:r>
        <w:t>support the feature of “</w:t>
      </w:r>
      <w:r w:rsidRPr="000A2A51">
        <w:rPr>
          <w:i/>
        </w:rPr>
        <w:t>support for NR-NR DC from the UE and IAB-node perspective</w:t>
      </w:r>
      <w:r>
        <w:t>”, we propose to support both case 1 and case 2 in the IAB network.</w:t>
      </w:r>
    </w:p>
    <w:p w:rsidR="00B84484" w:rsidRPr="001C59B3" w:rsidRDefault="00B84484" w:rsidP="00C13986">
      <w:pPr>
        <w:pStyle w:val="Proposal"/>
      </w:pPr>
      <w:r>
        <w:rPr>
          <w:lang w:val="en-US"/>
        </w:rPr>
        <w:t>B</w:t>
      </w:r>
      <w:proofErr w:type="spellStart"/>
      <w:r>
        <w:t>oth</w:t>
      </w:r>
      <w:proofErr w:type="spellEnd"/>
      <w:r>
        <w:t xml:space="preserve"> the </w:t>
      </w:r>
      <w:r w:rsidRPr="004F6AB1">
        <w:t xml:space="preserve">UE connecting to </w:t>
      </w:r>
      <w:r>
        <w:t>the IAB-donor via redundant routes and IAB-node connecting to the IAB-donor node via redundant routes are supported.</w:t>
      </w:r>
    </w:p>
    <w:p w:rsidR="00C8417D" w:rsidRPr="00117080" w:rsidRDefault="00C8417D" w:rsidP="00C13986">
      <w:pPr>
        <w:rPr>
          <w:b/>
        </w:rPr>
      </w:pPr>
      <w:r w:rsidRPr="00117080">
        <w:rPr>
          <w:b/>
        </w:rPr>
        <w:t>Case 1. Supporting UE multi-connectivity</w:t>
      </w:r>
    </w:p>
    <w:p w:rsidR="004D6448" w:rsidRDefault="004D6448" w:rsidP="00C13986">
      <w:r>
        <w:t xml:space="preserve">Since </w:t>
      </w:r>
      <w:r w:rsidR="00C13986">
        <w:t xml:space="preserve">the </w:t>
      </w:r>
      <w:r>
        <w:t>case</w:t>
      </w:r>
      <w:r w:rsidR="00C13986">
        <w:t xml:space="preserve"> 1</w:t>
      </w:r>
      <w:r>
        <w:t xml:space="preserve"> is traditional DC scenario,</w:t>
      </w:r>
      <w:r w:rsidR="00526857">
        <w:t xml:space="preserve"> the NR-NR DC procedure can be reused from UE</w:t>
      </w:r>
      <w:r w:rsidR="00C13986">
        <w:t>’s</w:t>
      </w:r>
      <w:r w:rsidR="00526857">
        <w:t xml:space="preserve"> point of view. </w:t>
      </w:r>
      <w:r w:rsidR="00254A57">
        <w:t>An example of the procedure is given as</w:t>
      </w:r>
      <w:r w:rsidR="009A2D7D">
        <w:t xml:space="preserve"> Figure 1</w:t>
      </w:r>
      <w:r w:rsidR="009A2D7D">
        <w:rPr>
          <w:rFonts w:hint="eastAsia"/>
        </w:rPr>
        <w:t>.</w:t>
      </w:r>
    </w:p>
    <w:p w:rsidR="00254A57" w:rsidRDefault="00117080" w:rsidP="00254A57">
      <w:pPr>
        <w:jc w:val="center"/>
      </w:pPr>
      <w:r>
        <w:object w:dxaOrig="17580" w:dyaOrig="10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31pt" o:ole="">
            <v:imagedata r:id="rId8" o:title=""/>
          </v:shape>
          <o:OLEObject Type="Embed" ProgID="Visio.Drawing.15" ShapeID="_x0000_i1025" DrawAspect="Content" ObjectID="_1615454867" r:id="rId9"/>
        </w:object>
      </w:r>
    </w:p>
    <w:p w:rsidR="00254A57" w:rsidRDefault="00254A57" w:rsidP="00254A57">
      <w:pPr>
        <w:jc w:val="center"/>
      </w:pPr>
      <w:r>
        <w:t xml:space="preserve">Figure 1. Procedure for adding SCG link for </w:t>
      </w:r>
      <w:r w:rsidRPr="00254A57">
        <w:t xml:space="preserve">the UE connecting to </w:t>
      </w:r>
      <w:r>
        <w:t>the IAB-donor via redundant routes</w:t>
      </w:r>
    </w:p>
    <w:p w:rsidR="00254A57" w:rsidRPr="00254A57" w:rsidRDefault="00254A57" w:rsidP="005F0DD7">
      <w:r w:rsidRPr="00254A57">
        <w:t>The procedure contains the following steps:</w:t>
      </w:r>
    </w:p>
    <w:p w:rsidR="00254A57" w:rsidRPr="00E23CFA" w:rsidRDefault="00254A57" w:rsidP="005F0DD7">
      <w:pPr>
        <w:pStyle w:val="B1"/>
        <w:jc w:val="both"/>
        <w:rPr>
          <w:rFonts w:eastAsia="Malgun Gothic"/>
        </w:rPr>
      </w:pPr>
      <w:r w:rsidRPr="00E23CFA">
        <w:rPr>
          <w:rFonts w:eastAsia="Malgun Gothic"/>
          <w:lang w:eastAsia="ko-KR"/>
        </w:rPr>
        <w:t>1.</w:t>
      </w:r>
      <w:r w:rsidRPr="00E23CFA">
        <w:rPr>
          <w:rFonts w:eastAsia="Malgun Gothic"/>
          <w:lang w:eastAsia="ko-KR"/>
        </w:rPr>
        <w:tab/>
      </w:r>
      <w:r w:rsidRPr="00E23CFA">
        <w:rPr>
          <w:rFonts w:eastAsia="Malgun Gothic"/>
        </w:rPr>
        <w:t xml:space="preserve">A connection to the SCG on established for the dual-connecting </w:t>
      </w:r>
      <w:r>
        <w:rPr>
          <w:rFonts w:eastAsia="Malgun Gothic"/>
        </w:rPr>
        <w:t>UE</w:t>
      </w:r>
      <w:r w:rsidRPr="00E23CFA">
        <w:rPr>
          <w:rFonts w:eastAsia="Malgun Gothic"/>
        </w:rPr>
        <w:t xml:space="preserve"> using Rel-15 NR procedures.</w:t>
      </w:r>
    </w:p>
    <w:p w:rsidR="00254A57" w:rsidRDefault="00927FEF" w:rsidP="005F0DD7">
      <w:pPr>
        <w:pStyle w:val="B1"/>
        <w:jc w:val="both"/>
        <w:rPr>
          <w:rFonts w:eastAsia="Malgun Gothic"/>
        </w:rPr>
      </w:pPr>
      <w:r>
        <w:rPr>
          <w:rFonts w:eastAsia="Malgun Gothic"/>
          <w:lang w:eastAsia="ko-KR"/>
        </w:rPr>
        <w:t>2</w:t>
      </w:r>
      <w:r w:rsidR="00254A57" w:rsidRPr="00E23CFA">
        <w:rPr>
          <w:rFonts w:eastAsia="Malgun Gothic"/>
          <w:lang w:eastAsia="ko-KR"/>
        </w:rPr>
        <w:t>.</w:t>
      </w:r>
      <w:r w:rsidR="00254A57" w:rsidRPr="00E23CFA">
        <w:rPr>
          <w:rFonts w:eastAsia="Malgun Gothic"/>
          <w:lang w:eastAsia="ko-KR"/>
        </w:rPr>
        <w:tab/>
      </w:r>
      <w:r w:rsidR="00254A57" w:rsidRPr="00E23CFA">
        <w:rPr>
          <w:rFonts w:eastAsia="Malgun Gothic"/>
        </w:rPr>
        <w:t xml:space="preserve">The </w:t>
      </w:r>
      <w:r w:rsidR="005D3232">
        <w:rPr>
          <w:rFonts w:eastAsia="Malgun Gothic"/>
        </w:rPr>
        <w:t xml:space="preserve">IAB donor </w:t>
      </w:r>
      <w:r w:rsidR="00254A57" w:rsidRPr="00E23CFA">
        <w:rPr>
          <w:rFonts w:eastAsia="Malgun Gothic"/>
        </w:rPr>
        <w:t>CU configures a new adaptation-layer route (SCG-route)</w:t>
      </w:r>
      <w:r w:rsidR="0018044D">
        <w:rPr>
          <w:rFonts w:eastAsia="Malgun Gothic"/>
        </w:rPr>
        <w:t xml:space="preserve"> as well as </w:t>
      </w:r>
      <w:r w:rsidR="00117080">
        <w:rPr>
          <w:rFonts w:eastAsia="Malgun Gothic"/>
        </w:rPr>
        <w:t>BH RLC channels</w:t>
      </w:r>
      <w:r w:rsidR="00254A57" w:rsidRPr="00E23CFA">
        <w:rPr>
          <w:rFonts w:eastAsia="Malgun Gothic"/>
        </w:rPr>
        <w:t xml:space="preserve"> on the wireless backhaul between </w:t>
      </w:r>
      <w:r w:rsidR="00595679">
        <w:rPr>
          <w:rFonts w:eastAsia="Malgun Gothic"/>
        </w:rPr>
        <w:t xml:space="preserve">new </w:t>
      </w:r>
      <w:r w:rsidR="00254A57" w:rsidRPr="00E23CFA">
        <w:rPr>
          <w:rFonts w:eastAsia="Malgun Gothic"/>
        </w:rPr>
        <w:t>IAB-</w:t>
      </w:r>
      <w:r w:rsidR="00254A57">
        <w:rPr>
          <w:rFonts w:eastAsia="Malgun Gothic"/>
        </w:rPr>
        <w:t>donor DU</w:t>
      </w:r>
      <w:r w:rsidR="006229FE" w:rsidRPr="006229FE">
        <w:rPr>
          <w:rFonts w:eastAsia="Malgun Gothic"/>
        </w:rPr>
        <w:t xml:space="preserve"> </w:t>
      </w:r>
      <w:r w:rsidR="006229FE" w:rsidRPr="00E23CFA">
        <w:rPr>
          <w:rFonts w:eastAsia="Malgun Gothic"/>
        </w:rPr>
        <w:t>and</w:t>
      </w:r>
      <w:r w:rsidR="00254A57">
        <w:rPr>
          <w:rFonts w:eastAsia="Malgun Gothic"/>
        </w:rPr>
        <w:t xml:space="preserve"> the SCG IAB-node. </w:t>
      </w:r>
    </w:p>
    <w:p w:rsidR="00254A57" w:rsidRPr="00E23CFA" w:rsidRDefault="00927FEF" w:rsidP="005F0DD7">
      <w:pPr>
        <w:pStyle w:val="B1"/>
        <w:jc w:val="both"/>
        <w:rPr>
          <w:rFonts w:eastAsia="Malgun Gothic"/>
        </w:rPr>
      </w:pPr>
      <w:r>
        <w:rPr>
          <w:rFonts w:eastAsia="Malgun Gothic"/>
          <w:lang w:eastAsia="ko-KR"/>
        </w:rPr>
        <w:t>3</w:t>
      </w:r>
      <w:r w:rsidR="00254A57" w:rsidRPr="00E23CFA">
        <w:rPr>
          <w:rFonts w:eastAsia="Malgun Gothic"/>
          <w:lang w:eastAsia="ko-KR"/>
        </w:rPr>
        <w:t>.</w:t>
      </w:r>
      <w:r w:rsidR="00254A57" w:rsidRPr="00E23CFA">
        <w:rPr>
          <w:rFonts w:eastAsia="Malgun Gothic"/>
          <w:lang w:eastAsia="ko-KR"/>
        </w:rPr>
        <w:tab/>
      </w:r>
      <w:r w:rsidR="00254A57" w:rsidRPr="00E23CFA">
        <w:rPr>
          <w:rFonts w:eastAsia="Malgun Gothic"/>
        </w:rPr>
        <w:t xml:space="preserve">The </w:t>
      </w:r>
      <w:r w:rsidR="005D3232">
        <w:rPr>
          <w:rFonts w:eastAsia="Malgun Gothic"/>
        </w:rPr>
        <w:t xml:space="preserve">IAB donor </w:t>
      </w:r>
      <w:r w:rsidR="00254A57" w:rsidRPr="00E23CFA">
        <w:rPr>
          <w:rFonts w:eastAsia="Malgun Gothic"/>
        </w:rPr>
        <w:t xml:space="preserve">CU </w:t>
      </w:r>
      <w:r w:rsidR="003E0DFF">
        <w:rPr>
          <w:rFonts w:eastAsia="Malgun Gothic"/>
        </w:rPr>
        <w:t>may add</w:t>
      </w:r>
      <w:r w:rsidR="00254A57" w:rsidRPr="00E23CFA">
        <w:rPr>
          <w:rFonts w:eastAsia="Malgun Gothic"/>
        </w:rPr>
        <w:t xml:space="preserve"> </w:t>
      </w:r>
      <w:r w:rsidR="007F573C">
        <w:rPr>
          <w:rFonts w:eastAsia="Malgun Gothic"/>
        </w:rPr>
        <w:t xml:space="preserve">new F1-U GTP-U tunnel for </w:t>
      </w:r>
      <w:r w:rsidR="007F573C" w:rsidRPr="00E23CFA">
        <w:rPr>
          <w:rFonts w:eastAsia="Malgun Gothic"/>
        </w:rPr>
        <w:t>the dual-connecting</w:t>
      </w:r>
      <w:r w:rsidR="007F573C">
        <w:rPr>
          <w:rFonts w:eastAsia="Malgun Gothic"/>
        </w:rPr>
        <w:t xml:space="preserve"> UE towards the SCG IAB node DU via the new IAB donor DU, and establish new F1-C towards SCG IAB node via the new IAB donor DU, the new F1-U and F1-C towards the SCG IAB node will be carried by the configured new route</w:t>
      </w:r>
      <w:r w:rsidR="00254A57" w:rsidRPr="00E23CFA">
        <w:rPr>
          <w:rFonts w:eastAsia="Malgun Gothic"/>
        </w:rPr>
        <w:t>.</w:t>
      </w:r>
      <w:r w:rsidR="00E049AF">
        <w:rPr>
          <w:rFonts w:eastAsia="Malgun Gothic"/>
        </w:rPr>
        <w:t xml:space="preserve"> In addition, mapping rules about the new F1-U related UE bearers will be configured for the involved nodes in the new route.</w:t>
      </w:r>
    </w:p>
    <w:p w:rsidR="00254A57" w:rsidRPr="003E0DFF" w:rsidRDefault="003E0DFF" w:rsidP="003E0DFF">
      <w:pPr>
        <w:pStyle w:val="Proposal"/>
        <w:jc w:val="left"/>
        <w:rPr>
          <w:lang w:val="en-GB"/>
        </w:rPr>
      </w:pPr>
      <w:r>
        <w:rPr>
          <w:lang w:val="en-GB"/>
        </w:rPr>
        <w:t xml:space="preserve">It is proposed to define the procedure </w:t>
      </w:r>
      <w:r>
        <w:t xml:space="preserve">for adding SCG link for </w:t>
      </w:r>
      <w:r w:rsidRPr="00254A57">
        <w:t xml:space="preserve">the UE connecting to </w:t>
      </w:r>
      <w:r>
        <w:t>the IAB-donor via redundant routes.</w:t>
      </w:r>
    </w:p>
    <w:p w:rsidR="00C8417D" w:rsidRPr="00117080" w:rsidRDefault="00C8417D" w:rsidP="00C8417D">
      <w:pPr>
        <w:rPr>
          <w:b/>
        </w:rPr>
      </w:pPr>
      <w:r w:rsidRPr="00117080">
        <w:rPr>
          <w:b/>
        </w:rPr>
        <w:t>Case 2. Supporting IAB node multi-connectivity</w:t>
      </w:r>
    </w:p>
    <w:p w:rsidR="00F508F2" w:rsidRPr="00E23CFA" w:rsidRDefault="00F508F2" w:rsidP="00F508F2">
      <w:pPr>
        <w:rPr>
          <w:rFonts w:eastAsia="Malgun Gothic"/>
        </w:rPr>
      </w:pPr>
      <w:r>
        <w:t>As discussed in</w:t>
      </w:r>
      <w:r w:rsidRPr="00F508F2">
        <w:t xml:space="preserve"> study phase, </w:t>
      </w:r>
      <w:r w:rsidRPr="00E23CFA">
        <w:rPr>
          <w:rFonts w:eastAsia="Malgun Gothic"/>
        </w:rPr>
        <w:t>Multi-connectivity of IAB-node (Case 2 above) can be supported by:</w:t>
      </w:r>
    </w:p>
    <w:p w:rsidR="00F508F2" w:rsidRPr="00E23CFA" w:rsidRDefault="00F508F2" w:rsidP="00F508F2">
      <w:pPr>
        <w:pStyle w:val="B1"/>
        <w:rPr>
          <w:rFonts w:eastAsia="Malgun Gothic"/>
        </w:rPr>
      </w:pPr>
      <w:r w:rsidRPr="00E23CFA">
        <w:rPr>
          <w:rFonts w:eastAsia="Malgun Gothic"/>
          <w:lang w:eastAsia="ko-KR"/>
        </w:rPr>
        <w:t>-</w:t>
      </w:r>
      <w:r w:rsidRPr="00E23CFA">
        <w:rPr>
          <w:rFonts w:eastAsia="Malgun Gothic"/>
          <w:lang w:eastAsia="ko-KR"/>
        </w:rPr>
        <w:tab/>
      </w:r>
      <w:r>
        <w:rPr>
          <w:rFonts w:eastAsia="Malgun Gothic"/>
          <w:lang w:eastAsia="ko-KR"/>
        </w:rPr>
        <w:t xml:space="preserve">Option A: </w:t>
      </w:r>
      <w:r w:rsidRPr="00E23CFA">
        <w:rPr>
          <w:rFonts w:eastAsia="Malgun Gothic"/>
        </w:rPr>
        <w:t>using a single MT function in the IAB-node,</w:t>
      </w:r>
    </w:p>
    <w:p w:rsidR="00F508F2" w:rsidRPr="00E23CFA" w:rsidRDefault="00F508F2" w:rsidP="00F508F2">
      <w:pPr>
        <w:pStyle w:val="B1"/>
        <w:rPr>
          <w:rFonts w:eastAsia="Malgun Gothic"/>
        </w:rPr>
      </w:pPr>
      <w:r w:rsidRPr="00E23CFA">
        <w:rPr>
          <w:rFonts w:eastAsia="Malgun Gothic"/>
          <w:lang w:eastAsia="ko-KR"/>
        </w:rPr>
        <w:t>-</w:t>
      </w:r>
      <w:r w:rsidRPr="00E23CFA">
        <w:rPr>
          <w:rFonts w:eastAsia="Malgun Gothic"/>
          <w:lang w:eastAsia="ko-KR"/>
        </w:rPr>
        <w:tab/>
      </w:r>
      <w:r>
        <w:rPr>
          <w:rFonts w:eastAsia="Malgun Gothic"/>
          <w:lang w:eastAsia="ko-KR"/>
        </w:rPr>
        <w:t xml:space="preserve">Option B: </w:t>
      </w:r>
      <w:r w:rsidRPr="00E23CFA">
        <w:rPr>
          <w:rFonts w:eastAsia="Malgun Gothic"/>
        </w:rPr>
        <w:t>using several independent MT functions in the IAB-node, where each MT function makes an independent connection to the network (using normal MT setup).</w:t>
      </w:r>
    </w:p>
    <w:p w:rsidR="00F508F2" w:rsidRDefault="00F508F2" w:rsidP="009A2D7D">
      <w:r>
        <w:t>Most of the adaptation layer functions are per IAB node</w:t>
      </w:r>
      <w:r w:rsidR="004A2602">
        <w:t xml:space="preserve"> (or per DU</w:t>
      </w:r>
      <w:r w:rsidR="004A2602">
        <w:rPr>
          <w:rFonts w:hint="eastAsia"/>
        </w:rPr>
        <w:t>/</w:t>
      </w:r>
      <w:r w:rsidR="004A2602">
        <w:t>MT)</w:t>
      </w:r>
      <w:r>
        <w:t xml:space="preserve"> even in case 2, rather than per BH link. For example the routing function is performed at adaption layer. For UL stream, donor CU will configure the routing table to the MT, and accordingly MT determines which parent node to deliver for a certain adaptation PDU. It is only feasible to use single MT to perform the routing for multiple parent nodes.</w:t>
      </w:r>
    </w:p>
    <w:p w:rsidR="00376FD1" w:rsidRPr="00376FD1" w:rsidRDefault="00376FD1" w:rsidP="00376FD1">
      <w:pPr>
        <w:pStyle w:val="Proposal"/>
        <w:jc w:val="left"/>
        <w:rPr>
          <w:lang w:val="en-GB"/>
        </w:rPr>
      </w:pPr>
      <w:r w:rsidRPr="00376FD1">
        <w:rPr>
          <w:lang w:val="en-GB"/>
        </w:rPr>
        <w:t>Support multiple connectivity in backhaul link with single MT.</w:t>
      </w:r>
    </w:p>
    <w:p w:rsidR="00C8417D" w:rsidRDefault="005D3232" w:rsidP="005D3232">
      <w:r>
        <w:t>The F1*-U and F1*-C terminate at the access IAB node DU, thus, multiple connecting IAB node can forward the F1*-U and F1*-C packets from either route towards th</w:t>
      </w:r>
      <w:r>
        <w:rPr>
          <w:rFonts w:hint="eastAsia"/>
        </w:rPr>
        <w:t>e</w:t>
      </w:r>
      <w:r>
        <w:t xml:space="preserve"> IAB donor CU. Although it seems no obvious functional difference between the master and secondary route for IAB node, we still use the term MCG and SCG to differentiate the two path towards IAB donor CU. </w:t>
      </w:r>
      <w:r w:rsidR="00E049AF">
        <w:t xml:space="preserve">For simplicity, </w:t>
      </w:r>
      <w:r>
        <w:t>the first built route</w:t>
      </w:r>
      <w:r w:rsidR="00E049AF">
        <w:t xml:space="preserve"> is defined as</w:t>
      </w:r>
      <w:r>
        <w:t xml:space="preserve"> MCG path, and the second built route</w:t>
      </w:r>
      <w:r w:rsidR="00E049AF">
        <w:t xml:space="preserve"> is defined</w:t>
      </w:r>
      <w:r>
        <w:t xml:space="preserve"> as SCG path. </w:t>
      </w:r>
      <w:r w:rsidR="00475C8B">
        <w:t>T</w:t>
      </w:r>
      <w:r w:rsidR="00C8417D">
        <w:t xml:space="preserve">he procedure for </w:t>
      </w:r>
      <w:r w:rsidR="00C8417D" w:rsidRPr="00E23CFA">
        <w:t>adding SCG link and redundant route to dual-connecting IAB-node</w:t>
      </w:r>
      <w:r w:rsidR="00C8417D">
        <w:t xml:space="preserve"> should be defined also, an example similar to the section 9.7.9 of TR 38.874 [2] is shown in Figure 2.</w:t>
      </w:r>
    </w:p>
    <w:p w:rsidR="005D3232" w:rsidRPr="00E23CFA" w:rsidRDefault="005D3232" w:rsidP="005D3232">
      <w:pPr>
        <w:pStyle w:val="B1"/>
        <w:jc w:val="both"/>
        <w:rPr>
          <w:rFonts w:eastAsia="Malgun Gothic"/>
        </w:rPr>
      </w:pPr>
      <w:r w:rsidRPr="00E23CFA">
        <w:rPr>
          <w:rFonts w:eastAsia="Malgun Gothic"/>
          <w:lang w:eastAsia="ko-KR"/>
        </w:rPr>
        <w:t>1.</w:t>
      </w:r>
      <w:r w:rsidRPr="00E23CFA">
        <w:rPr>
          <w:rFonts w:eastAsia="Malgun Gothic"/>
          <w:lang w:eastAsia="ko-KR"/>
        </w:rPr>
        <w:tab/>
      </w:r>
      <w:r w:rsidRPr="00E23CFA">
        <w:rPr>
          <w:rFonts w:eastAsia="Malgun Gothic"/>
        </w:rPr>
        <w:t>A connection to the SCG on established for the dual-connecting IAB-node MT using Rel-15 NR procedures.</w:t>
      </w:r>
    </w:p>
    <w:p w:rsidR="005D3232" w:rsidRPr="00E23CFA" w:rsidRDefault="005D3232" w:rsidP="00247EDE">
      <w:pPr>
        <w:pStyle w:val="B1"/>
        <w:jc w:val="both"/>
        <w:rPr>
          <w:rFonts w:eastAsia="Malgun Gothic"/>
        </w:rPr>
      </w:pPr>
      <w:r>
        <w:rPr>
          <w:rFonts w:eastAsia="Malgun Gothic"/>
          <w:lang w:eastAsia="ko-KR"/>
        </w:rPr>
        <w:lastRenderedPageBreak/>
        <w:t>2</w:t>
      </w:r>
      <w:r w:rsidRPr="00E23CFA">
        <w:rPr>
          <w:rFonts w:eastAsia="Malgun Gothic"/>
          <w:lang w:eastAsia="ko-KR"/>
        </w:rPr>
        <w:t>.</w:t>
      </w:r>
      <w:r w:rsidRPr="00E23CFA">
        <w:rPr>
          <w:rFonts w:eastAsia="Malgun Gothic"/>
          <w:lang w:eastAsia="ko-KR"/>
        </w:rPr>
        <w:tab/>
      </w:r>
      <w:r w:rsidRPr="00E23CFA">
        <w:rPr>
          <w:rFonts w:eastAsia="Malgun Gothic"/>
        </w:rPr>
        <w:t xml:space="preserve">The </w:t>
      </w:r>
      <w:bookmarkStart w:id="3" w:name="OLE_LINK38"/>
      <w:r>
        <w:rPr>
          <w:rFonts w:eastAsia="Malgun Gothic"/>
        </w:rPr>
        <w:t>IAB donor</w:t>
      </w:r>
      <w:bookmarkEnd w:id="3"/>
      <w:r>
        <w:rPr>
          <w:rFonts w:eastAsia="Malgun Gothic"/>
        </w:rPr>
        <w:t xml:space="preserve"> </w:t>
      </w:r>
      <w:r w:rsidRPr="00E23CFA">
        <w:rPr>
          <w:rFonts w:eastAsia="Malgun Gothic"/>
        </w:rPr>
        <w:t xml:space="preserve">CU configures a new adaptation-layer route (SCG-route) </w:t>
      </w:r>
      <w:r w:rsidR="0018044D">
        <w:rPr>
          <w:rFonts w:eastAsia="Malgun Gothic"/>
        </w:rPr>
        <w:t>as well as BH RLC channels</w:t>
      </w:r>
      <w:r w:rsidR="0018044D" w:rsidRPr="00E23CFA">
        <w:rPr>
          <w:rFonts w:eastAsia="Malgun Gothic"/>
        </w:rPr>
        <w:t xml:space="preserve"> </w:t>
      </w:r>
      <w:r w:rsidRPr="00E23CFA">
        <w:rPr>
          <w:rFonts w:eastAsia="Malgun Gothic"/>
        </w:rPr>
        <w:t>on the wireless backhaul between dual-connecting IAB-node and IAB-</w:t>
      </w:r>
      <w:r>
        <w:rPr>
          <w:rFonts w:eastAsia="Malgun Gothic"/>
        </w:rPr>
        <w:t xml:space="preserve">donor DU via the SCG IAB-node. </w:t>
      </w:r>
    </w:p>
    <w:p w:rsidR="005D3232" w:rsidRPr="00E23CFA" w:rsidRDefault="00DE173B" w:rsidP="00247EDE">
      <w:pPr>
        <w:pStyle w:val="B1"/>
        <w:jc w:val="both"/>
        <w:rPr>
          <w:rFonts w:eastAsia="Malgun Gothic"/>
        </w:rPr>
      </w:pPr>
      <w:r>
        <w:rPr>
          <w:rFonts w:eastAsia="Malgun Gothic"/>
          <w:lang w:eastAsia="ko-KR"/>
        </w:rPr>
        <w:t>3</w:t>
      </w:r>
      <w:r w:rsidR="005D3232" w:rsidRPr="00E23CFA">
        <w:rPr>
          <w:rFonts w:eastAsia="Malgun Gothic"/>
          <w:lang w:eastAsia="ko-KR"/>
        </w:rPr>
        <w:t>.</w:t>
      </w:r>
      <w:r w:rsidR="005D3232" w:rsidRPr="00E23CFA">
        <w:rPr>
          <w:rFonts w:eastAsia="Malgun Gothic"/>
          <w:lang w:eastAsia="ko-KR"/>
        </w:rPr>
        <w:tab/>
      </w:r>
      <w:r w:rsidR="005D3232" w:rsidRPr="00E23CFA">
        <w:rPr>
          <w:rFonts w:eastAsia="Malgun Gothic"/>
        </w:rPr>
        <w:t xml:space="preserve">The </w:t>
      </w:r>
      <w:proofErr w:type="spellStart"/>
      <w:r w:rsidR="005D3232" w:rsidRPr="00E23CFA">
        <w:rPr>
          <w:rFonts w:eastAsia="Malgun Gothic"/>
        </w:rPr>
        <w:t>gNB</w:t>
      </w:r>
      <w:proofErr w:type="spellEnd"/>
      <w:r w:rsidR="005D3232" w:rsidRPr="00E23CFA">
        <w:rPr>
          <w:rFonts w:eastAsia="Malgun Gothic"/>
        </w:rPr>
        <w:t>-CU further redirects the F1-U tunnel for UE</w:t>
      </w:r>
      <w:r>
        <w:rPr>
          <w:rFonts w:eastAsia="Malgun Gothic"/>
        </w:rPr>
        <w:t xml:space="preserve"> and the F1-C connection towards the dual-connecting IAB node</w:t>
      </w:r>
      <w:r w:rsidR="005D3232" w:rsidRPr="00E23CFA">
        <w:rPr>
          <w:rFonts w:eastAsia="Malgun Gothic"/>
        </w:rPr>
        <w:t xml:space="preserve"> from the old route to the new route.</w:t>
      </w:r>
      <w:r w:rsidR="0018044D">
        <w:rPr>
          <w:rFonts w:eastAsia="Malgun Gothic"/>
        </w:rPr>
        <w:t xml:space="preserve"> Mapping rules update for the BH RLC channels along the new route may also necessary.</w:t>
      </w:r>
    </w:p>
    <w:p w:rsidR="00C8417D" w:rsidRDefault="0018044D" w:rsidP="00C8417D">
      <w:pPr>
        <w:jc w:val="center"/>
      </w:pPr>
      <w:r>
        <w:object w:dxaOrig="19245" w:dyaOrig="10080">
          <v:shape id="_x0000_i1026" type="#_x0000_t75" style="width:481pt;height:252pt" o:ole="">
            <v:imagedata r:id="rId10" o:title=""/>
          </v:shape>
          <o:OLEObject Type="Embed" ProgID="Visio.Drawing.15" ShapeID="_x0000_i1026" DrawAspect="Content" ObjectID="_1615454868" r:id="rId11"/>
        </w:object>
      </w:r>
    </w:p>
    <w:p w:rsidR="00C8417D" w:rsidRDefault="00C8417D" w:rsidP="00C8417D">
      <w:pPr>
        <w:jc w:val="center"/>
      </w:pPr>
      <w:r>
        <w:t xml:space="preserve">Figure 2. Procedure for adding SCG link for </w:t>
      </w:r>
      <w:r w:rsidRPr="00254A57">
        <w:t xml:space="preserve">the UE connecting to </w:t>
      </w:r>
      <w:r>
        <w:t>the IAB-donor via redundant routes</w:t>
      </w:r>
    </w:p>
    <w:p w:rsidR="00376FD1" w:rsidRDefault="00A31E12" w:rsidP="00021FF7">
      <w:r>
        <w:t>One of the principle of designing an IAB network is to be agnostic to the Rel</w:t>
      </w:r>
      <w:r w:rsidR="0018044D">
        <w:t>-</w:t>
      </w:r>
      <w:r>
        <w:t xml:space="preserve">15 UE. </w:t>
      </w:r>
      <w:r w:rsidR="0018044D">
        <w:t>Functions for</w:t>
      </w:r>
      <w:r>
        <w:t xml:space="preserve"> Rel</w:t>
      </w:r>
      <w:r w:rsidR="0018044D">
        <w:t>-</w:t>
      </w:r>
      <w:r>
        <w:t xml:space="preserve">15 </w:t>
      </w:r>
      <w:r w:rsidR="0018044D">
        <w:t>UE should</w:t>
      </w:r>
      <w:r>
        <w:t xml:space="preserve"> be supported in the IAB network as much as possible. </w:t>
      </w:r>
      <w:r w:rsidR="00376FD1" w:rsidRPr="00376FD1">
        <w:t>PDCP duplication is an essential feature</w:t>
      </w:r>
      <w:r w:rsidR="00021FF7">
        <w:t xml:space="preserve"> of Rel15 UE</w:t>
      </w:r>
      <w:r w:rsidR="00376FD1" w:rsidRPr="00376FD1">
        <w:t xml:space="preserve"> to support higher reliability.</w:t>
      </w:r>
      <w:r w:rsidR="00376FD1">
        <w:t xml:space="preserve"> There are two type PDCP duplications, i.e. CA based PDCP duplication and DC based PDCP duplication. </w:t>
      </w:r>
      <w:r w:rsidR="0018044D">
        <w:t>On the other hand, s</w:t>
      </w:r>
      <w:r w:rsidR="00376FD1">
        <w:t>upport</w:t>
      </w:r>
      <w:r w:rsidR="0018044D">
        <w:t>ing</w:t>
      </w:r>
      <w:r w:rsidR="00376FD1">
        <w:t xml:space="preserve"> PDCP duplication is beneficial </w:t>
      </w:r>
      <w:r w:rsidR="0018044D">
        <w:t>for reliability guarantee in case the</w:t>
      </w:r>
      <w:r w:rsidR="00376FD1">
        <w:t xml:space="preserve"> blockage issue for IAB-node operating in high frequency.</w:t>
      </w:r>
      <w:r w:rsidR="00021FF7">
        <w:t xml:space="preserve"> Therefore, both the two multiple connectivity cases should support UE PDCP duplication. </w:t>
      </w:r>
    </w:p>
    <w:p w:rsidR="00376FD1" w:rsidRPr="00376FD1" w:rsidRDefault="00376FD1" w:rsidP="00021FF7">
      <w:pPr>
        <w:pStyle w:val="Proposal"/>
        <w:rPr>
          <w:lang w:val="en-GB"/>
        </w:rPr>
      </w:pPr>
      <w:r>
        <w:rPr>
          <w:lang w:val="en-GB"/>
        </w:rPr>
        <w:t>PDCP duplication should be supported. It is propose to discuss how to support CA based and DC based PDCP duplication in both cases.</w:t>
      </w:r>
    </w:p>
    <w:p w:rsidR="001C1B8F" w:rsidRDefault="00CB19F6" w:rsidP="00CB19F6">
      <w:pPr>
        <w:pStyle w:val="1"/>
        <w:rPr>
          <w:rFonts w:eastAsia="宋体"/>
          <w:lang w:val="en-US"/>
        </w:rPr>
      </w:pPr>
      <w:r w:rsidRPr="00CB19F6">
        <w:rPr>
          <w:rFonts w:eastAsia="宋体"/>
          <w:lang w:val="en-US"/>
        </w:rPr>
        <w:t>Conclusion</w:t>
      </w:r>
    </w:p>
    <w:p w:rsidR="00376FD1" w:rsidRDefault="00376FD1" w:rsidP="0018044D">
      <w:r>
        <w:t>In this paper, we discuss the issues and impacts related to multiple connectivity for IAB</w:t>
      </w:r>
      <w:r w:rsidR="0018044D">
        <w:t xml:space="preserve"> network</w:t>
      </w:r>
      <w:r w:rsidR="005F25C7">
        <w:t xml:space="preserve"> and </w:t>
      </w:r>
      <w:r w:rsidR="0018044D">
        <w:t xml:space="preserve">we </w:t>
      </w:r>
      <w:r w:rsidR="005F25C7">
        <w:t>propose:</w:t>
      </w:r>
    </w:p>
    <w:p w:rsidR="005F25C7" w:rsidRPr="001C59B3" w:rsidRDefault="005F25C7" w:rsidP="00A9633C">
      <w:pPr>
        <w:pStyle w:val="Proposal"/>
        <w:numPr>
          <w:ilvl w:val="0"/>
          <w:numId w:val="21"/>
        </w:numPr>
      </w:pPr>
      <w:r w:rsidRPr="005F25C7">
        <w:rPr>
          <w:lang w:val="en-US"/>
        </w:rPr>
        <w:t>B</w:t>
      </w:r>
      <w:proofErr w:type="spellStart"/>
      <w:r>
        <w:t>oth</w:t>
      </w:r>
      <w:proofErr w:type="spellEnd"/>
      <w:r>
        <w:t xml:space="preserve"> the </w:t>
      </w:r>
      <w:r w:rsidRPr="004F6AB1">
        <w:t xml:space="preserve">UE connecting to </w:t>
      </w:r>
      <w:r>
        <w:t>the IAB-donor via redundant routes and IAB-node connecting to the IAB-donor node via redundant routes are supported.</w:t>
      </w:r>
    </w:p>
    <w:p w:rsidR="005F25C7" w:rsidRPr="003E0DFF" w:rsidRDefault="005F25C7" w:rsidP="00A9633C">
      <w:pPr>
        <w:pStyle w:val="Proposal"/>
        <w:rPr>
          <w:lang w:val="en-GB"/>
        </w:rPr>
      </w:pPr>
      <w:r>
        <w:rPr>
          <w:lang w:val="en-GB"/>
        </w:rPr>
        <w:t xml:space="preserve">It is proposed to define the procedure </w:t>
      </w:r>
      <w:r>
        <w:t xml:space="preserve">for adding SCG link for </w:t>
      </w:r>
      <w:r w:rsidRPr="00254A57">
        <w:t xml:space="preserve">the UE connecting to </w:t>
      </w:r>
      <w:r>
        <w:t>the IAB-donor via redundant routes.</w:t>
      </w:r>
    </w:p>
    <w:p w:rsidR="005F25C7" w:rsidRPr="00376FD1" w:rsidRDefault="005F25C7" w:rsidP="00A9633C">
      <w:pPr>
        <w:pStyle w:val="Proposal"/>
        <w:rPr>
          <w:lang w:val="en-GB"/>
        </w:rPr>
      </w:pPr>
      <w:r w:rsidRPr="00376FD1">
        <w:rPr>
          <w:lang w:val="en-GB"/>
        </w:rPr>
        <w:t>Support multiple connectivity in backhaul link with single MT.</w:t>
      </w:r>
    </w:p>
    <w:p w:rsidR="005F25C7" w:rsidRPr="00376FD1" w:rsidRDefault="005F25C7" w:rsidP="00A9633C">
      <w:pPr>
        <w:pStyle w:val="Proposal"/>
        <w:rPr>
          <w:lang w:val="en-GB"/>
        </w:rPr>
      </w:pPr>
      <w:r>
        <w:rPr>
          <w:lang w:val="en-GB"/>
        </w:rPr>
        <w:t>PDCP duplication should be supported. It is propose to discuss how to support CA based and DC based PDCP duplication in both cases.</w:t>
      </w:r>
    </w:p>
    <w:p w:rsidR="005F239D" w:rsidRPr="005F239D" w:rsidRDefault="00737BB5" w:rsidP="00737BB5">
      <w:pPr>
        <w:pStyle w:val="1"/>
        <w:numPr>
          <w:ilvl w:val="0"/>
          <w:numId w:val="0"/>
        </w:numPr>
        <w:rPr>
          <w:lang w:val="en-US"/>
        </w:rPr>
      </w:pPr>
      <w:r>
        <w:rPr>
          <w:lang w:val="en-US"/>
        </w:rPr>
        <w:t>Reference</w:t>
      </w:r>
    </w:p>
    <w:p w:rsidR="002E16A8" w:rsidRDefault="002E16A8" w:rsidP="002E16A8">
      <w:r>
        <w:t>[1] RP-182882. New WID: Integrated Access and Backhaul for NR. Qualcomm.</w:t>
      </w:r>
    </w:p>
    <w:p w:rsidR="00BC09BA" w:rsidRPr="00BC09BA" w:rsidRDefault="005F25C7" w:rsidP="00BC09BA">
      <w:r>
        <w:t>[2] TR 38.874</w:t>
      </w:r>
      <w:r w:rsidR="00F97B26">
        <w:t>, v16.0.0</w:t>
      </w:r>
      <w:r>
        <w:t>.</w:t>
      </w:r>
      <w:r w:rsidR="00C13986">
        <w:t xml:space="preserve"> </w:t>
      </w:r>
      <w:r w:rsidR="00C13986" w:rsidRPr="00572BE2">
        <w:t>Study on integrated access and backhaul</w:t>
      </w:r>
      <w:r w:rsidR="00C13986">
        <w:t>.</w:t>
      </w:r>
      <w:bookmarkEnd w:id="1"/>
      <w:bookmarkEnd w:id="2"/>
    </w:p>
    <w:sectPr w:rsidR="00BC09BA" w:rsidRPr="00BC09BA" w:rsidSect="008568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16C" w:rsidRDefault="0001116C" w:rsidP="00796430">
      <w:r>
        <w:separator/>
      </w:r>
    </w:p>
  </w:endnote>
  <w:endnote w:type="continuationSeparator" w:id="0">
    <w:p w:rsidR="0001116C" w:rsidRDefault="0001116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inorBidi">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E572C">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E572C">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16C" w:rsidRDefault="0001116C" w:rsidP="00796430">
      <w:r>
        <w:separator/>
      </w:r>
    </w:p>
  </w:footnote>
  <w:footnote w:type="continuationSeparator" w:id="0">
    <w:p w:rsidR="0001116C" w:rsidRDefault="0001116C"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16E161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9BED80C"/>
    <w:lvl w:ilvl="0">
      <w:start w:val="1"/>
      <w:numFmt w:val="decimal"/>
      <w:lvlText w:val="%1."/>
      <w:lvlJc w:val="left"/>
      <w:pPr>
        <w:tabs>
          <w:tab w:val="num" w:pos="926"/>
        </w:tabs>
        <w:ind w:left="926" w:hanging="360"/>
      </w:pPr>
    </w:lvl>
  </w:abstractNum>
  <w:abstractNum w:abstractNumId="2"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E4AE6620">
      <w:start w:val="1"/>
      <w:numFmt w:val="bullet"/>
      <w:pStyle w:val="a"/>
      <w:lvlText w:val="-"/>
      <w:lvlJc w:val="left"/>
      <w:pPr>
        <w:tabs>
          <w:tab w:val="num" w:pos="510"/>
        </w:tabs>
        <w:ind w:left="510" w:hanging="397"/>
      </w:pPr>
      <w:rPr>
        <w:rFonts w:ascii="Times New Roman" w:hAnsi="Times New Roman" w:cs="Times New Roman" w:hint="default"/>
      </w:rPr>
    </w:lvl>
    <w:lvl w:ilvl="1" w:tplc="6032BCA8" w:tentative="1">
      <w:start w:val="1"/>
      <w:numFmt w:val="bullet"/>
      <w:lvlText w:val="o"/>
      <w:lvlJc w:val="left"/>
      <w:pPr>
        <w:tabs>
          <w:tab w:val="num" w:pos="1440"/>
        </w:tabs>
        <w:ind w:left="1440" w:hanging="360"/>
      </w:pPr>
      <w:rPr>
        <w:rFonts w:ascii="DotumChe" w:hAnsi="DotumChe" w:cs="DotumChe" w:hint="default"/>
      </w:rPr>
    </w:lvl>
    <w:lvl w:ilvl="2" w:tplc="1E8EA3C8" w:tentative="1">
      <w:start w:val="1"/>
      <w:numFmt w:val="bullet"/>
      <w:lvlText w:val=""/>
      <w:lvlJc w:val="left"/>
      <w:pPr>
        <w:tabs>
          <w:tab w:val="num" w:pos="2160"/>
        </w:tabs>
        <w:ind w:left="2160" w:hanging="360"/>
      </w:pPr>
      <w:rPr>
        <w:rFonts w:ascii="Calibri" w:hAnsi="Calibri" w:hint="default"/>
      </w:rPr>
    </w:lvl>
    <w:lvl w:ilvl="3" w:tplc="C7A0D8DE" w:tentative="1">
      <w:start w:val="1"/>
      <w:numFmt w:val="bullet"/>
      <w:lvlText w:val=""/>
      <w:lvlJc w:val="left"/>
      <w:pPr>
        <w:tabs>
          <w:tab w:val="num" w:pos="2880"/>
        </w:tabs>
        <w:ind w:left="2880" w:hanging="360"/>
      </w:pPr>
      <w:rPr>
        <w:rFonts w:ascii="minorBidi" w:hAnsi="minorBidi" w:hint="default"/>
      </w:rPr>
    </w:lvl>
    <w:lvl w:ilvl="4" w:tplc="3CA0394C" w:tentative="1">
      <w:start w:val="1"/>
      <w:numFmt w:val="bullet"/>
      <w:lvlText w:val="o"/>
      <w:lvlJc w:val="left"/>
      <w:pPr>
        <w:tabs>
          <w:tab w:val="num" w:pos="3600"/>
        </w:tabs>
        <w:ind w:left="3600" w:hanging="360"/>
      </w:pPr>
      <w:rPr>
        <w:rFonts w:ascii="DotumChe" w:hAnsi="DotumChe" w:cs="DotumChe" w:hint="default"/>
      </w:rPr>
    </w:lvl>
    <w:lvl w:ilvl="5" w:tplc="99B4169C" w:tentative="1">
      <w:start w:val="1"/>
      <w:numFmt w:val="bullet"/>
      <w:lvlText w:val=""/>
      <w:lvlJc w:val="left"/>
      <w:pPr>
        <w:tabs>
          <w:tab w:val="num" w:pos="4320"/>
        </w:tabs>
        <w:ind w:left="4320" w:hanging="360"/>
      </w:pPr>
      <w:rPr>
        <w:rFonts w:ascii="Calibri" w:hAnsi="Calibri" w:hint="default"/>
      </w:rPr>
    </w:lvl>
    <w:lvl w:ilvl="6" w:tplc="D3062526" w:tentative="1">
      <w:start w:val="1"/>
      <w:numFmt w:val="bullet"/>
      <w:lvlText w:val=""/>
      <w:lvlJc w:val="left"/>
      <w:pPr>
        <w:tabs>
          <w:tab w:val="num" w:pos="5040"/>
        </w:tabs>
        <w:ind w:left="5040" w:hanging="360"/>
      </w:pPr>
      <w:rPr>
        <w:rFonts w:ascii="minorBidi" w:hAnsi="minorBidi" w:hint="default"/>
      </w:rPr>
    </w:lvl>
    <w:lvl w:ilvl="7" w:tplc="70587934" w:tentative="1">
      <w:start w:val="1"/>
      <w:numFmt w:val="bullet"/>
      <w:lvlText w:val="o"/>
      <w:lvlJc w:val="left"/>
      <w:pPr>
        <w:tabs>
          <w:tab w:val="num" w:pos="5760"/>
        </w:tabs>
        <w:ind w:left="5760" w:hanging="360"/>
      </w:pPr>
      <w:rPr>
        <w:rFonts w:ascii="DotumChe" w:hAnsi="DotumChe" w:cs="DotumChe" w:hint="default"/>
      </w:rPr>
    </w:lvl>
    <w:lvl w:ilvl="8" w:tplc="3134FE08"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3303F73"/>
    <w:multiLevelType w:val="hybridMultilevel"/>
    <w:tmpl w:val="99E0CBFC"/>
    <w:lvl w:ilvl="0" w:tplc="E42C0ABA">
      <w:start w:val="1"/>
      <w:numFmt w:val="bullet"/>
      <w:lvlText w:val="-"/>
      <w:lvlJc w:val="left"/>
      <w:pPr>
        <w:tabs>
          <w:tab w:val="num" w:pos="794"/>
        </w:tabs>
        <w:ind w:left="794" w:hanging="397"/>
      </w:pPr>
      <w:rPr>
        <w:rFonts w:ascii="Times New Roman" w:hAnsi="Times New Roman" w:cs="Times New Roman" w:hint="default"/>
      </w:rPr>
    </w:lvl>
    <w:lvl w:ilvl="1" w:tplc="E988939E" w:tentative="1">
      <w:start w:val="1"/>
      <w:numFmt w:val="bullet"/>
      <w:lvlText w:val="o"/>
      <w:lvlJc w:val="left"/>
      <w:pPr>
        <w:tabs>
          <w:tab w:val="num" w:pos="1440"/>
        </w:tabs>
        <w:ind w:left="1440" w:hanging="360"/>
      </w:pPr>
      <w:rPr>
        <w:rFonts w:ascii="DotumChe" w:hAnsi="DotumChe" w:cs="DotumChe" w:hint="default"/>
      </w:rPr>
    </w:lvl>
    <w:lvl w:ilvl="2" w:tplc="8BCA6790" w:tentative="1">
      <w:start w:val="1"/>
      <w:numFmt w:val="bullet"/>
      <w:lvlText w:val=""/>
      <w:lvlJc w:val="left"/>
      <w:pPr>
        <w:tabs>
          <w:tab w:val="num" w:pos="2160"/>
        </w:tabs>
        <w:ind w:left="2160" w:hanging="360"/>
      </w:pPr>
      <w:rPr>
        <w:rFonts w:ascii="Calibri" w:hAnsi="Calibri" w:hint="default"/>
      </w:rPr>
    </w:lvl>
    <w:lvl w:ilvl="3" w:tplc="835E3A86" w:tentative="1">
      <w:start w:val="1"/>
      <w:numFmt w:val="bullet"/>
      <w:lvlText w:val=""/>
      <w:lvlJc w:val="left"/>
      <w:pPr>
        <w:tabs>
          <w:tab w:val="num" w:pos="2880"/>
        </w:tabs>
        <w:ind w:left="2880" w:hanging="360"/>
      </w:pPr>
      <w:rPr>
        <w:rFonts w:ascii="minorBidi" w:hAnsi="minorBidi" w:hint="default"/>
      </w:rPr>
    </w:lvl>
    <w:lvl w:ilvl="4" w:tplc="7CDEE0AE" w:tentative="1">
      <w:start w:val="1"/>
      <w:numFmt w:val="bullet"/>
      <w:lvlText w:val="o"/>
      <w:lvlJc w:val="left"/>
      <w:pPr>
        <w:tabs>
          <w:tab w:val="num" w:pos="3600"/>
        </w:tabs>
        <w:ind w:left="3600" w:hanging="360"/>
      </w:pPr>
      <w:rPr>
        <w:rFonts w:ascii="DotumChe" w:hAnsi="DotumChe" w:cs="DotumChe" w:hint="default"/>
      </w:rPr>
    </w:lvl>
    <w:lvl w:ilvl="5" w:tplc="16CA93CC" w:tentative="1">
      <w:start w:val="1"/>
      <w:numFmt w:val="bullet"/>
      <w:lvlText w:val=""/>
      <w:lvlJc w:val="left"/>
      <w:pPr>
        <w:tabs>
          <w:tab w:val="num" w:pos="4320"/>
        </w:tabs>
        <w:ind w:left="4320" w:hanging="360"/>
      </w:pPr>
      <w:rPr>
        <w:rFonts w:ascii="Calibri" w:hAnsi="Calibri" w:hint="default"/>
      </w:rPr>
    </w:lvl>
    <w:lvl w:ilvl="6" w:tplc="742AD7F2" w:tentative="1">
      <w:start w:val="1"/>
      <w:numFmt w:val="bullet"/>
      <w:lvlText w:val=""/>
      <w:lvlJc w:val="left"/>
      <w:pPr>
        <w:tabs>
          <w:tab w:val="num" w:pos="5040"/>
        </w:tabs>
        <w:ind w:left="5040" w:hanging="360"/>
      </w:pPr>
      <w:rPr>
        <w:rFonts w:ascii="minorBidi" w:hAnsi="minorBidi" w:hint="default"/>
      </w:rPr>
    </w:lvl>
    <w:lvl w:ilvl="7" w:tplc="F23C79A8" w:tentative="1">
      <w:start w:val="1"/>
      <w:numFmt w:val="bullet"/>
      <w:lvlText w:val="o"/>
      <w:lvlJc w:val="left"/>
      <w:pPr>
        <w:tabs>
          <w:tab w:val="num" w:pos="5760"/>
        </w:tabs>
        <w:ind w:left="5760" w:hanging="360"/>
      </w:pPr>
      <w:rPr>
        <w:rFonts w:ascii="DotumChe" w:hAnsi="DotumChe" w:cs="DotumChe" w:hint="default"/>
      </w:rPr>
    </w:lvl>
    <w:lvl w:ilvl="8" w:tplc="AC605A4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3A6EFAFE">
      <w:start w:val="1"/>
      <w:numFmt w:val="decimal"/>
      <w:pStyle w:val="Observation"/>
      <w:lvlText w:val="Observation %1"/>
      <w:lvlJc w:val="left"/>
      <w:pPr>
        <w:ind w:left="360" w:hanging="360"/>
      </w:pPr>
      <w:rPr>
        <w:rFonts w:hint="default"/>
      </w:rPr>
    </w:lvl>
    <w:lvl w:ilvl="1" w:tplc="A40AA978" w:tentative="1">
      <w:start w:val="1"/>
      <w:numFmt w:val="lowerLetter"/>
      <w:lvlText w:val="%2."/>
      <w:lvlJc w:val="left"/>
      <w:pPr>
        <w:ind w:left="1440" w:hanging="360"/>
      </w:pPr>
    </w:lvl>
    <w:lvl w:ilvl="2" w:tplc="CD9EAB92" w:tentative="1">
      <w:start w:val="1"/>
      <w:numFmt w:val="lowerRoman"/>
      <w:lvlText w:val="%3."/>
      <w:lvlJc w:val="right"/>
      <w:pPr>
        <w:ind w:left="2160" w:hanging="180"/>
      </w:pPr>
    </w:lvl>
    <w:lvl w:ilvl="3" w:tplc="6CC2EB08" w:tentative="1">
      <w:start w:val="1"/>
      <w:numFmt w:val="decimal"/>
      <w:lvlText w:val="%4."/>
      <w:lvlJc w:val="left"/>
      <w:pPr>
        <w:ind w:left="2880" w:hanging="360"/>
      </w:pPr>
    </w:lvl>
    <w:lvl w:ilvl="4" w:tplc="27E49F5C" w:tentative="1">
      <w:start w:val="1"/>
      <w:numFmt w:val="lowerLetter"/>
      <w:lvlText w:val="%5."/>
      <w:lvlJc w:val="left"/>
      <w:pPr>
        <w:ind w:left="3600" w:hanging="360"/>
      </w:pPr>
    </w:lvl>
    <w:lvl w:ilvl="5" w:tplc="1B923768" w:tentative="1">
      <w:start w:val="1"/>
      <w:numFmt w:val="lowerRoman"/>
      <w:lvlText w:val="%6."/>
      <w:lvlJc w:val="right"/>
      <w:pPr>
        <w:ind w:left="4320" w:hanging="180"/>
      </w:pPr>
    </w:lvl>
    <w:lvl w:ilvl="6" w:tplc="EE64289A" w:tentative="1">
      <w:start w:val="1"/>
      <w:numFmt w:val="decimal"/>
      <w:lvlText w:val="%7."/>
      <w:lvlJc w:val="left"/>
      <w:pPr>
        <w:ind w:left="5040" w:hanging="360"/>
      </w:pPr>
    </w:lvl>
    <w:lvl w:ilvl="7" w:tplc="0B4CA3EA" w:tentative="1">
      <w:start w:val="1"/>
      <w:numFmt w:val="lowerLetter"/>
      <w:lvlText w:val="%8."/>
      <w:lvlJc w:val="left"/>
      <w:pPr>
        <w:ind w:left="5760" w:hanging="360"/>
      </w:pPr>
    </w:lvl>
    <w:lvl w:ilvl="8" w:tplc="DF5080E0"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hybridMultilevel"/>
    <w:tmpl w:val="A016EECC"/>
    <w:lvl w:ilvl="0" w:tplc="F8D6E4F0">
      <w:start w:val="1"/>
      <w:numFmt w:val="bullet"/>
      <w:pStyle w:val="3"/>
      <w:lvlText w:val="-"/>
      <w:lvlJc w:val="left"/>
      <w:pPr>
        <w:tabs>
          <w:tab w:val="num" w:pos="1077"/>
        </w:tabs>
        <w:ind w:left="1077" w:hanging="397"/>
      </w:pPr>
      <w:rPr>
        <w:rFonts w:ascii="Times New Roman" w:hAnsi="Times New Roman" w:cs="Times New Roman" w:hint="default"/>
      </w:rPr>
    </w:lvl>
    <w:lvl w:ilvl="1" w:tplc="4AD06C30" w:tentative="1">
      <w:start w:val="1"/>
      <w:numFmt w:val="bullet"/>
      <w:lvlText w:val="o"/>
      <w:lvlJc w:val="left"/>
      <w:pPr>
        <w:tabs>
          <w:tab w:val="num" w:pos="1440"/>
        </w:tabs>
        <w:ind w:left="1440" w:hanging="360"/>
      </w:pPr>
      <w:rPr>
        <w:rFonts w:ascii="DotumChe" w:hAnsi="DotumChe" w:cs="DotumChe" w:hint="default"/>
      </w:rPr>
    </w:lvl>
    <w:lvl w:ilvl="2" w:tplc="E57A1A32" w:tentative="1">
      <w:start w:val="1"/>
      <w:numFmt w:val="bullet"/>
      <w:lvlText w:val=""/>
      <w:lvlJc w:val="left"/>
      <w:pPr>
        <w:tabs>
          <w:tab w:val="num" w:pos="2160"/>
        </w:tabs>
        <w:ind w:left="2160" w:hanging="360"/>
      </w:pPr>
      <w:rPr>
        <w:rFonts w:ascii="Calibri" w:hAnsi="Calibri" w:hint="default"/>
      </w:rPr>
    </w:lvl>
    <w:lvl w:ilvl="3" w:tplc="47ACE8D8" w:tentative="1">
      <w:start w:val="1"/>
      <w:numFmt w:val="bullet"/>
      <w:lvlText w:val=""/>
      <w:lvlJc w:val="left"/>
      <w:pPr>
        <w:tabs>
          <w:tab w:val="num" w:pos="2880"/>
        </w:tabs>
        <w:ind w:left="2880" w:hanging="360"/>
      </w:pPr>
      <w:rPr>
        <w:rFonts w:ascii="minorBidi" w:hAnsi="minorBidi" w:hint="default"/>
      </w:rPr>
    </w:lvl>
    <w:lvl w:ilvl="4" w:tplc="637C067C" w:tentative="1">
      <w:start w:val="1"/>
      <w:numFmt w:val="bullet"/>
      <w:lvlText w:val="o"/>
      <w:lvlJc w:val="left"/>
      <w:pPr>
        <w:tabs>
          <w:tab w:val="num" w:pos="3600"/>
        </w:tabs>
        <w:ind w:left="3600" w:hanging="360"/>
      </w:pPr>
      <w:rPr>
        <w:rFonts w:ascii="DotumChe" w:hAnsi="DotumChe" w:cs="DotumChe" w:hint="default"/>
      </w:rPr>
    </w:lvl>
    <w:lvl w:ilvl="5" w:tplc="3B56A2A4" w:tentative="1">
      <w:start w:val="1"/>
      <w:numFmt w:val="bullet"/>
      <w:lvlText w:val=""/>
      <w:lvlJc w:val="left"/>
      <w:pPr>
        <w:tabs>
          <w:tab w:val="num" w:pos="4320"/>
        </w:tabs>
        <w:ind w:left="4320" w:hanging="360"/>
      </w:pPr>
      <w:rPr>
        <w:rFonts w:ascii="Calibri" w:hAnsi="Calibri" w:hint="default"/>
      </w:rPr>
    </w:lvl>
    <w:lvl w:ilvl="6" w:tplc="17D23A7A" w:tentative="1">
      <w:start w:val="1"/>
      <w:numFmt w:val="bullet"/>
      <w:lvlText w:val=""/>
      <w:lvlJc w:val="left"/>
      <w:pPr>
        <w:tabs>
          <w:tab w:val="num" w:pos="5040"/>
        </w:tabs>
        <w:ind w:left="5040" w:hanging="360"/>
      </w:pPr>
      <w:rPr>
        <w:rFonts w:ascii="minorBidi" w:hAnsi="minorBidi" w:hint="default"/>
      </w:rPr>
    </w:lvl>
    <w:lvl w:ilvl="7" w:tplc="AC36FE32" w:tentative="1">
      <w:start w:val="1"/>
      <w:numFmt w:val="bullet"/>
      <w:lvlText w:val="o"/>
      <w:lvlJc w:val="left"/>
      <w:pPr>
        <w:tabs>
          <w:tab w:val="num" w:pos="5760"/>
        </w:tabs>
        <w:ind w:left="5760" w:hanging="360"/>
      </w:pPr>
      <w:rPr>
        <w:rFonts w:ascii="DotumChe" w:hAnsi="DotumChe" w:cs="DotumChe" w:hint="default"/>
      </w:rPr>
    </w:lvl>
    <w:lvl w:ilvl="8" w:tplc="5F4C52C2"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13"/>
  </w:num>
  <w:num w:numId="3">
    <w:abstractNumId w:val="10"/>
  </w:num>
  <w:num w:numId="4">
    <w:abstractNumId w:val="8"/>
  </w:num>
  <w:num w:numId="5">
    <w:abstractNumId w:val="11"/>
  </w:num>
  <w:num w:numId="6">
    <w:abstractNumId w:val="16"/>
  </w:num>
  <w:num w:numId="7">
    <w:abstractNumId w:val="9"/>
  </w:num>
  <w:num w:numId="8">
    <w:abstractNumId w:val="4"/>
  </w:num>
  <w:num w:numId="9">
    <w:abstractNumId w:val="14"/>
  </w:num>
  <w:num w:numId="10">
    <w:abstractNumId w:val="15"/>
    <w:lvlOverride w:ilvl="0">
      <w:startOverride w:val="1"/>
    </w:lvlOverride>
  </w:num>
  <w:num w:numId="11">
    <w:abstractNumId w:val="3"/>
  </w:num>
  <w:num w:numId="12">
    <w:abstractNumId w:val="12"/>
  </w:num>
  <w:num w:numId="13">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7"/>
  </w:num>
  <w:num w:numId="16">
    <w:abstractNumId w:val="1"/>
  </w:num>
  <w:num w:numId="17">
    <w:abstractNumId w:val="0"/>
  </w:num>
  <w:num w:numId="18">
    <w:abstractNumId w:val="6"/>
  </w:num>
  <w:num w:numId="19">
    <w:abstractNumId w:val="7"/>
  </w:num>
  <w:num w:numId="20">
    <w:abstractNumId w:val="7"/>
  </w:num>
  <w:num w:numId="21">
    <w:abstractNumId w:val="7"/>
    <w:lvlOverride w:ilvl="0">
      <w:startOverride w:val="1"/>
    </w:lvlOverride>
  </w:num>
  <w:num w:numId="2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16C"/>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1FF7"/>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51"/>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9A5"/>
    <w:rsid w:val="00117080"/>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5BB"/>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44D"/>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47EDE"/>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96A"/>
    <w:rsid w:val="00266700"/>
    <w:rsid w:val="00266D1F"/>
    <w:rsid w:val="00266DC7"/>
    <w:rsid w:val="0026730A"/>
    <w:rsid w:val="0026738B"/>
    <w:rsid w:val="0026782E"/>
    <w:rsid w:val="0026783C"/>
    <w:rsid w:val="0027053A"/>
    <w:rsid w:val="00270644"/>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3CE"/>
    <w:rsid w:val="002A388B"/>
    <w:rsid w:val="002A3D5E"/>
    <w:rsid w:val="002A411F"/>
    <w:rsid w:val="002A4628"/>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D54"/>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6FD1"/>
    <w:rsid w:val="00377214"/>
    <w:rsid w:val="00377B16"/>
    <w:rsid w:val="00377C7D"/>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72C"/>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17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5C8B"/>
    <w:rsid w:val="0047600F"/>
    <w:rsid w:val="00476382"/>
    <w:rsid w:val="004767C9"/>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392"/>
    <w:rsid w:val="004A250F"/>
    <w:rsid w:val="004A2602"/>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679"/>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232"/>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0DD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9FE"/>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2AE5"/>
    <w:rsid w:val="00633096"/>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6260"/>
    <w:rsid w:val="006A67C6"/>
    <w:rsid w:val="006A6F38"/>
    <w:rsid w:val="006A75D6"/>
    <w:rsid w:val="006A7A03"/>
    <w:rsid w:val="006A7DE2"/>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F4C"/>
    <w:rsid w:val="006E7520"/>
    <w:rsid w:val="006E7531"/>
    <w:rsid w:val="006E79E1"/>
    <w:rsid w:val="006E7A7F"/>
    <w:rsid w:val="006E7D16"/>
    <w:rsid w:val="006F010C"/>
    <w:rsid w:val="006F0E8E"/>
    <w:rsid w:val="006F0EEA"/>
    <w:rsid w:val="006F0FCE"/>
    <w:rsid w:val="006F13D4"/>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863"/>
    <w:rsid w:val="00795930"/>
    <w:rsid w:val="00795E37"/>
    <w:rsid w:val="0079604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3C"/>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1E9A"/>
    <w:rsid w:val="0086263E"/>
    <w:rsid w:val="008629E3"/>
    <w:rsid w:val="00862BB0"/>
    <w:rsid w:val="00862DEB"/>
    <w:rsid w:val="00862E43"/>
    <w:rsid w:val="00862E8C"/>
    <w:rsid w:val="00863069"/>
    <w:rsid w:val="00863E27"/>
    <w:rsid w:val="00864152"/>
    <w:rsid w:val="00864218"/>
    <w:rsid w:val="00864222"/>
    <w:rsid w:val="008644CE"/>
    <w:rsid w:val="0086468F"/>
    <w:rsid w:val="0086555A"/>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6F9B"/>
    <w:rsid w:val="009178F4"/>
    <w:rsid w:val="00917B66"/>
    <w:rsid w:val="00917CFC"/>
    <w:rsid w:val="00917E59"/>
    <w:rsid w:val="0092001A"/>
    <w:rsid w:val="0092011E"/>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27FEF"/>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7D"/>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12"/>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3C"/>
    <w:rsid w:val="00A96358"/>
    <w:rsid w:val="00A9650B"/>
    <w:rsid w:val="00A96583"/>
    <w:rsid w:val="00A967BD"/>
    <w:rsid w:val="00A96A97"/>
    <w:rsid w:val="00A96B1E"/>
    <w:rsid w:val="00A96C14"/>
    <w:rsid w:val="00A978A8"/>
    <w:rsid w:val="00A978B8"/>
    <w:rsid w:val="00A97CB6"/>
    <w:rsid w:val="00AA01CA"/>
    <w:rsid w:val="00AA10A1"/>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35B"/>
    <w:rsid w:val="00AB6532"/>
    <w:rsid w:val="00AB6906"/>
    <w:rsid w:val="00AB6CA6"/>
    <w:rsid w:val="00AB747C"/>
    <w:rsid w:val="00AB7A1B"/>
    <w:rsid w:val="00AB7CA6"/>
    <w:rsid w:val="00AC0174"/>
    <w:rsid w:val="00AC05CD"/>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716F"/>
    <w:rsid w:val="00B0729D"/>
    <w:rsid w:val="00B07329"/>
    <w:rsid w:val="00B07479"/>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339"/>
    <w:rsid w:val="00BE144D"/>
    <w:rsid w:val="00BE1A6D"/>
    <w:rsid w:val="00BE1ABC"/>
    <w:rsid w:val="00BE1F63"/>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986"/>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0EA1"/>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17D"/>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D00F58"/>
    <w:rsid w:val="00D00F6F"/>
    <w:rsid w:val="00D00FC7"/>
    <w:rsid w:val="00D010D1"/>
    <w:rsid w:val="00D0111D"/>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73B"/>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9AF"/>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80E"/>
    <w:rsid w:val="00E21E20"/>
    <w:rsid w:val="00E2242A"/>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3A"/>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588C"/>
    <w:rsid w:val="00F9606A"/>
    <w:rsid w:val="00F963BE"/>
    <w:rsid w:val="00F966A7"/>
    <w:rsid w:val="00F9799E"/>
    <w:rsid w:val="00F97B26"/>
    <w:rsid w:val="00F97CFF"/>
    <w:rsid w:val="00FA015E"/>
    <w:rsid w:val="00FA01DE"/>
    <w:rsid w:val="00FA03FC"/>
    <w:rsid w:val="00FA0C44"/>
    <w:rsid w:val="00FA1DCC"/>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93A"/>
    <w:rsid w:val="00FE7ADB"/>
    <w:rsid w:val="00FE7CE8"/>
    <w:rsid w:val="00FE7D08"/>
    <w:rsid w:val="00FE7D65"/>
    <w:rsid w:val="00FE7E09"/>
    <w:rsid w:val="00FE7FDF"/>
    <w:rsid w:val="00FF035A"/>
    <w:rsid w:val="00FF06B8"/>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EE263F41-8918-40C3-9D4E-16CE3029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A327B7-FBB0-4B96-A1CF-688071232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150</TotalTime>
  <Pages>3</Pages>
  <Words>1074</Words>
  <Characters>6123</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7183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30</cp:revision>
  <cp:lastPrinted>2016-09-19T04:11:00Z</cp:lastPrinted>
  <dcterms:created xsi:type="dcterms:W3CDTF">2019-03-26T03:28:00Z</dcterms:created>
  <dcterms:modified xsi:type="dcterms:W3CDTF">2019-03-30T04:36:00Z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(3)Dk2O4YTaigijNoaoJAarigcu96DKC2FW52cIYRif9sjTS2ov1Li/hr/NZkI3TtYcEwXkyuMj
K+7czm13AoMPps5DinkH40fYWXicFi9RBwEirpbQgQkKrlFuNKl3SqzfRLGD80KbqjHPwwQo
yIOZCOAC7tfp1a7DT6KNF/tGz0gGczd+zHrEAp0NplQsbjWsb2xLTvfNORPxb+aaxbVfBaJ2
kpUN5gr24iFnayneLz</vt:lpwstr>
  </property>
  <property fmtid="{D5CDD505-2E9C-101B-9397-08002B2CF9AE}" pid="25" name="_2015_ms_pID_725343_00">
    <vt:lpwstr>_2015_ms_pID_725343</vt:lpwstr>
  </property>
  <property fmtid="{D5CDD505-2E9C-101B-9397-08002B2CF9AE}" pid="26" name="_2015_ms_pID_7253431">
    <vt:lpwstr>riNfmymjUJETbj0D2/ROrkLhyKupg4cz5wa0cXOZJnbfdDFkUCJzdG
ESQvYJpKO0EdLepzxwMW0CJ5Wcj/3VaMgmn4ZVk+evSSINBzLDOAQ5cx2H0ACI3wo1jiJnkk
1fTXfmtHtwX2BPYjA5AYFhTM0n1AhUHjhyRDe5NJpdpyqqld1rUXPGdM2y+lNde0UXM4epuK
yqpyrZqLv+ii+fGTCkoy4uFGCWEHXVpxgG1o</vt:lpwstr>
  </property>
  <property fmtid="{D5CDD505-2E9C-101B-9397-08002B2CF9AE}" pid="27" name="_2015_ms_pID_7253431_00">
    <vt:lpwstr>_2015_ms_pID_7253431</vt:lpwstr>
  </property>
  <property fmtid="{D5CDD505-2E9C-101B-9397-08002B2CF9AE}" pid="28" name="_2015_ms_pID_7253432">
    <vt:lpwstr>XA==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1550196765</vt:lpwstr>
  </property>
</Properties>
</file>